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4E0CF4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20F95CDF" w:rsidR="00BF54FE" w:rsidRPr="00D61BB3" w:rsidRDefault="0035387B" w:rsidP="006C2343">
          <w:pPr>
            <w:pStyle w:val="Tituldatum"/>
            <w:rPr>
              <w:rStyle w:val="Nzevakce"/>
            </w:rPr>
          </w:pPr>
          <w:r w:rsidRPr="0035387B">
            <w:rPr>
              <w:rStyle w:val="Nzevakce"/>
            </w:rPr>
            <w:t>Oprava přejezdů v úseku Skalice nad Svitavou - Březová nad Svitavou - přejezd P6810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7B24C7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23E22" w:rsidRPr="00423E22">
        <w:t>27.</w:t>
      </w:r>
      <w:r w:rsidR="0035387B">
        <w:t>3</w:t>
      </w:r>
      <w:r w:rsidR="00423E22" w:rsidRPr="00423E22">
        <w:t>.2023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B02F444" w14:textId="07172F5E" w:rsidR="009C283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403502" w:history="1">
        <w:r w:rsidR="009C2836" w:rsidRPr="0033082E">
          <w:rPr>
            <w:rStyle w:val="Hypertextovodkaz"/>
          </w:rPr>
          <w:t>SEZNAM ZKRATEK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2</w:t>
        </w:r>
        <w:r w:rsidR="009C2836">
          <w:rPr>
            <w:noProof/>
            <w:webHidden/>
          </w:rPr>
          <w:fldChar w:fldCharType="end"/>
        </w:r>
      </w:hyperlink>
    </w:p>
    <w:p w14:paraId="7B61B030" w14:textId="5DF06A5E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3" w:history="1">
        <w:r w:rsidR="009C2836" w:rsidRPr="0033082E">
          <w:rPr>
            <w:rStyle w:val="Hypertextovodkaz"/>
          </w:rPr>
          <w:t>Pojmy a definice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3</w:t>
        </w:r>
        <w:r w:rsidR="009C2836">
          <w:rPr>
            <w:noProof/>
            <w:webHidden/>
          </w:rPr>
          <w:fldChar w:fldCharType="end"/>
        </w:r>
      </w:hyperlink>
    </w:p>
    <w:p w14:paraId="6DB11952" w14:textId="50784614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4" w:history="1">
        <w:r w:rsidR="009C2836" w:rsidRPr="0033082E">
          <w:rPr>
            <w:rStyle w:val="Hypertextovodkaz"/>
          </w:rPr>
          <w:t>1.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SPECIFIKACE PŘEDMĚTU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_Toc128403504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3E25509B" w14:textId="0CFB8903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5" w:history="1">
        <w:r w:rsidR="009C2836" w:rsidRPr="0033082E">
          <w:rPr>
            <w:rStyle w:val="Hypertextovodkaz"/>
            <w:rFonts w:asciiTheme="majorHAnsi" w:hAnsiTheme="majorHAnsi"/>
          </w:rPr>
          <w:t>1.1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Účel a rozsah předmětu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_Toc128403505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389220DA" w14:textId="4F4D529B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6" w:history="1">
        <w:r w:rsidR="009C2836" w:rsidRPr="0033082E">
          <w:rPr>
            <w:rStyle w:val="Hypertextovodkaz"/>
            <w:rFonts w:asciiTheme="majorHAnsi" w:hAnsiTheme="majorHAnsi"/>
          </w:rPr>
          <w:t>1.2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Umístění stavby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_Toc128403506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9031D2A" w14:textId="12C3E618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7" w:history="1">
        <w:r w:rsidR="009C2836" w:rsidRPr="0033082E">
          <w:rPr>
            <w:rStyle w:val="Hypertextovodkaz"/>
          </w:rPr>
          <w:t>2.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PŘEHLED VÝCHOZÍCH PODKLADŮ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_Toc128403507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6782C985" w14:textId="7C473FF6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8" w:history="1">
        <w:r w:rsidR="009C2836" w:rsidRPr="0033082E">
          <w:rPr>
            <w:rStyle w:val="Hypertextovodkaz"/>
            <w:rFonts w:asciiTheme="majorHAnsi" w:hAnsiTheme="majorHAnsi"/>
          </w:rPr>
          <w:t>2.1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Projektová dokumentace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_Toc128403508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1F79D76C" w14:textId="5F5D4678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9" w:history="1">
        <w:r w:rsidR="009C2836" w:rsidRPr="0033082E">
          <w:rPr>
            <w:rStyle w:val="Hypertextovodkaz"/>
            <w:rFonts w:asciiTheme="majorHAnsi" w:hAnsiTheme="majorHAnsi"/>
          </w:rPr>
          <w:t>2.2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Související dokumentace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_Toc128403509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204A177D" w14:textId="4840AE79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10" w:history="1">
        <w:r w:rsidR="009C2836" w:rsidRPr="0033082E">
          <w:rPr>
            <w:rStyle w:val="Hypertextovodkaz"/>
          </w:rPr>
          <w:t>3.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KOORDINACE S JINÝMI STAVBAMI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_Toc128403510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573D44D" w14:textId="1D2F3BA4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11" w:history="1">
        <w:r w:rsidR="009C2836" w:rsidRPr="0033082E">
          <w:rPr>
            <w:rStyle w:val="Hypertextovodkaz"/>
          </w:rPr>
          <w:t>4.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Zvláštní TECHNICKÉ podmímky a požadavky na PROVEDENÍ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_Toc128403511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7A46929" w14:textId="0E23F0FA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2" w:history="1">
        <w:r w:rsidR="009C2836" w:rsidRPr="0033082E">
          <w:rPr>
            <w:rStyle w:val="Hypertextovodkaz"/>
            <w:rFonts w:asciiTheme="majorHAnsi" w:hAnsiTheme="majorHAnsi"/>
          </w:rPr>
          <w:t>4.1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Všeobecně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96325E8" w14:textId="3726CB0C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3" w:history="1">
        <w:r w:rsidR="009C2836" w:rsidRPr="0033082E">
          <w:rPr>
            <w:rStyle w:val="Hypertextovodkaz"/>
            <w:rFonts w:asciiTheme="majorHAnsi" w:hAnsiTheme="majorHAnsi"/>
          </w:rPr>
          <w:t>4.2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Zeměměřická činnost zhotovitele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8</w:t>
        </w:r>
        <w:r w:rsidR="009C2836">
          <w:rPr>
            <w:noProof/>
            <w:webHidden/>
          </w:rPr>
          <w:fldChar w:fldCharType="end"/>
        </w:r>
      </w:hyperlink>
    </w:p>
    <w:p w14:paraId="4BB21138" w14:textId="3ECFBA5F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4" w:history="1">
        <w:r w:rsidR="009C2836" w:rsidRPr="0033082E">
          <w:rPr>
            <w:rStyle w:val="Hypertextovodkaz"/>
            <w:rFonts w:asciiTheme="majorHAnsi" w:hAnsiTheme="majorHAnsi"/>
          </w:rPr>
          <w:t>4.3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Dokumentace zhotovitele pro stavbu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_Toc128403514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9</w:t>
        </w:r>
        <w:r w:rsidR="009C2836">
          <w:rPr>
            <w:noProof/>
            <w:webHidden/>
          </w:rPr>
          <w:fldChar w:fldCharType="end"/>
        </w:r>
      </w:hyperlink>
    </w:p>
    <w:p w14:paraId="094B6651" w14:textId="61CEE00C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5" w:history="1">
        <w:r w:rsidR="009C2836" w:rsidRPr="0033082E">
          <w:rPr>
            <w:rStyle w:val="Hypertextovodkaz"/>
            <w:rFonts w:asciiTheme="majorHAnsi" w:hAnsiTheme="majorHAnsi"/>
          </w:rPr>
          <w:t>4.4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Doklady předkládané zhotovitelem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_Toc128403515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2CA0E427" w14:textId="7BF0088C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6" w:history="1">
        <w:r w:rsidR="009C2836" w:rsidRPr="0033082E">
          <w:rPr>
            <w:rStyle w:val="Hypertextovodkaz"/>
            <w:rFonts w:asciiTheme="majorHAnsi" w:hAnsiTheme="majorHAnsi"/>
          </w:rPr>
          <w:t>4.5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Dokumentace skutečného provedení stavby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_Toc128403516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335D84E2" w14:textId="3583C884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7" w:history="1">
        <w:r w:rsidR="009C2836" w:rsidRPr="0033082E">
          <w:rPr>
            <w:rStyle w:val="Hypertextovodkaz"/>
            <w:rFonts w:asciiTheme="majorHAnsi" w:hAnsiTheme="majorHAnsi"/>
          </w:rPr>
          <w:t>4.6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Zabezpečovací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_Toc128403517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25BFAE57" w14:textId="6AF7C760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8" w:history="1">
        <w:r w:rsidR="009C2836" w:rsidRPr="0033082E">
          <w:rPr>
            <w:rStyle w:val="Hypertextovodkaz"/>
            <w:rFonts w:asciiTheme="majorHAnsi" w:hAnsiTheme="majorHAnsi"/>
          </w:rPr>
          <w:t>4.7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Silnoproudá technologie včetně DŘT, trakční a energetická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_Toc128403518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45900A16" w14:textId="05AA8925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9" w:history="1">
        <w:r w:rsidR="009C2836" w:rsidRPr="0033082E">
          <w:rPr>
            <w:rStyle w:val="Hypertextovodkaz"/>
            <w:rFonts w:asciiTheme="majorHAnsi" w:hAnsiTheme="majorHAnsi"/>
          </w:rPr>
          <w:t>4.8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Ostatní technologická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_Toc128403519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41DFB699" w14:textId="38C0D73B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20" w:history="1">
        <w:r w:rsidR="009C2836" w:rsidRPr="0033082E">
          <w:rPr>
            <w:rStyle w:val="Hypertextovodkaz"/>
            <w:rFonts w:asciiTheme="majorHAnsi" w:hAnsiTheme="majorHAnsi"/>
          </w:rPr>
          <w:t>4.9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Železniční svršek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_Toc128403520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3E6CE5CC" w14:textId="4B541802" w:rsidR="009C2836" w:rsidRDefault="00BB2D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21" w:history="1">
        <w:r w:rsidR="009C2836" w:rsidRPr="0033082E">
          <w:rPr>
            <w:rStyle w:val="Hypertextovodkaz"/>
            <w:rFonts w:asciiTheme="majorHAnsi" w:hAnsiTheme="majorHAnsi"/>
          </w:rPr>
          <w:t>4.10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Železniční přejezdy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_Toc128403521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72B89142" w14:textId="782717E7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22" w:history="1">
        <w:r w:rsidR="009C2836" w:rsidRPr="0033082E">
          <w:rPr>
            <w:rStyle w:val="Hypertextovodkaz"/>
          </w:rPr>
          <w:t>5.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ORGANIZACE VÝSTAVBY, VÝLUKY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2DA97C20" w14:textId="5D4B4DDB" w:rsidR="009C2836" w:rsidRDefault="00BB2D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23" w:history="1">
        <w:r w:rsidR="009C2836" w:rsidRPr="0033082E">
          <w:rPr>
            <w:rStyle w:val="Hypertextovodkaz"/>
          </w:rPr>
          <w:t>6.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SOUVISEJÍCÍ DOKUMENTY A PŘEDPISY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30D8D7FD" w14:textId="7770BCA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40350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1514C4D" w:rsidR="00AD0C7B" w:rsidRPr="00AD0C7B" w:rsidRDefault="00423E22" w:rsidP="00AD0C7B">
            <w:pPr>
              <w:pStyle w:val="Zkratky1"/>
            </w:pPr>
            <w:r>
              <w:t>ETCS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6F019F43" w:rsidR="00423E22" w:rsidRPr="006115D3" w:rsidRDefault="00423E22" w:rsidP="000F15F1">
            <w:pPr>
              <w:pStyle w:val="Zkratky2"/>
            </w:pPr>
            <w:r>
              <w:t>European train control system</w:t>
            </w:r>
          </w:p>
        </w:tc>
      </w:tr>
      <w:tr w:rsidR="00423E22" w:rsidRPr="00AD0C7B" w14:paraId="3BFC607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81603A" w14:textId="636B675D" w:rsidR="00423E22" w:rsidRDefault="00423E22" w:rsidP="00423E22">
            <w:pPr>
              <w:pStyle w:val="Zkratky1"/>
            </w:pPr>
            <w:r>
              <w:t xml:space="preserve">GPK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555721" w14:textId="7F7B3C53" w:rsidR="00423E22" w:rsidRDefault="00423E22" w:rsidP="00423E22">
            <w:pPr>
              <w:pStyle w:val="Zkratky2"/>
            </w:pPr>
            <w:r>
              <w:t>Geometrické parametry koleje</w:t>
            </w:r>
          </w:p>
        </w:tc>
      </w:tr>
      <w:tr w:rsidR="00423E22" w:rsidRPr="00AD0C7B" w14:paraId="6D393E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FD07CE" w14:textId="0596A661" w:rsidR="00423E22" w:rsidRDefault="00423E22" w:rsidP="00423E22">
            <w:pPr>
              <w:pStyle w:val="Zkratky1"/>
            </w:pPr>
            <w:r>
              <w:t xml:space="preserve">KSU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21514F" w14:textId="4B610516" w:rsidR="00423E22" w:rsidRDefault="00423E22" w:rsidP="00423E22">
            <w:pPr>
              <w:pStyle w:val="Zkratky2"/>
            </w:pPr>
            <w:r>
              <w:t>Koordinační schéma ukolejnění</w:t>
            </w:r>
          </w:p>
        </w:tc>
      </w:tr>
      <w:tr w:rsidR="00423E22" w:rsidRPr="00AD0C7B" w14:paraId="6DCF020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55230" w14:textId="6901FBAB" w:rsidR="00423E22" w:rsidRDefault="00423E22" w:rsidP="00423E22">
            <w:pPr>
              <w:pStyle w:val="Zkratky1"/>
            </w:pPr>
            <w:r>
              <w:t xml:space="preserve">SEE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EE11E" w14:textId="01167CAD" w:rsidR="00423E22" w:rsidRDefault="00423E22" w:rsidP="00423E22">
            <w:pPr>
              <w:pStyle w:val="Zkratky2"/>
            </w:pPr>
            <w:r>
              <w:t>Správa elektrotechniky a energetiky</w:t>
            </w:r>
          </w:p>
        </w:tc>
      </w:tr>
      <w:tr w:rsidR="00423E22" w:rsidRPr="00AD0C7B" w14:paraId="2EBF084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08CA04" w14:textId="7285278F" w:rsidR="00423E22" w:rsidRDefault="00423E22" w:rsidP="00423E22">
            <w:pPr>
              <w:pStyle w:val="Zkratky1"/>
            </w:pPr>
            <w:r>
              <w:t xml:space="preserve">ST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AD9B7" w14:textId="45B32344" w:rsidR="00423E22" w:rsidRDefault="00423E22" w:rsidP="00423E22">
            <w:pPr>
              <w:pStyle w:val="Zkratky2"/>
            </w:pPr>
            <w:r>
              <w:t>Správa tratí</w:t>
            </w:r>
          </w:p>
        </w:tc>
      </w:tr>
      <w:tr w:rsidR="00423E22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14133C74" w:rsidR="00423E22" w:rsidRPr="00AD0C7B" w:rsidRDefault="00423E22" w:rsidP="00423E22">
            <w:pPr>
              <w:pStyle w:val="Zkratky1"/>
            </w:pPr>
            <w:r>
              <w:t xml:space="preserve">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6A35015" w:rsidR="00423E22" w:rsidRPr="006115D3" w:rsidRDefault="00423E22" w:rsidP="00423E22">
            <w:pPr>
              <w:pStyle w:val="Zkratky2"/>
            </w:pPr>
            <w:r>
              <w:t>Trakční podpěra</w:t>
            </w:r>
          </w:p>
        </w:tc>
      </w:tr>
      <w:tr w:rsidR="00423E22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628A5C7F" w:rsidR="00423E22" w:rsidRPr="00AD0C7B" w:rsidRDefault="00423E22" w:rsidP="00423E22">
            <w:pPr>
              <w:pStyle w:val="Zkratky1"/>
            </w:pPr>
            <w:r>
              <w:t>ŽST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0D47C9F2" w:rsidR="00423E22" w:rsidRPr="00F92E3A" w:rsidRDefault="00423E22" w:rsidP="00423E22">
            <w:pPr>
              <w:pStyle w:val="Zkratky2"/>
            </w:pPr>
            <w:r>
              <w:t>Železniční stanice</w:t>
            </w:r>
          </w:p>
          <w:p w14:paraId="02C5BC82" w14:textId="77777777" w:rsidR="00423E22" w:rsidRPr="006115D3" w:rsidRDefault="00423E22" w:rsidP="00423E22">
            <w:pPr>
              <w:pStyle w:val="Zkratky2"/>
            </w:pPr>
          </w:p>
        </w:tc>
      </w:tr>
      <w:tr w:rsidR="00423E22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423E22" w:rsidRPr="00AD0C7B" w:rsidRDefault="00423E22" w:rsidP="00423E2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423E22" w:rsidRPr="006115D3" w:rsidRDefault="00423E22" w:rsidP="00423E2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40350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40350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8403505"/>
      <w:r>
        <w:t>Účel a rozsah předmětu Díla</w:t>
      </w:r>
      <w:bookmarkEnd w:id="10"/>
      <w:bookmarkEnd w:id="11"/>
    </w:p>
    <w:p w14:paraId="144B4FC2" w14:textId="236313FE" w:rsidR="00DF7BAA" w:rsidRPr="00A16611" w:rsidRDefault="00DF7BAA" w:rsidP="0035387B">
      <w:pPr>
        <w:pStyle w:val="Text2-1"/>
      </w:pPr>
      <w:r w:rsidRPr="00A16611">
        <w:t xml:space="preserve">Předmětem díla je </w:t>
      </w:r>
      <w:r w:rsidRPr="00423E22">
        <w:t>zhotovení stavby „</w:t>
      </w:r>
      <w:r w:rsidR="0035387B" w:rsidRPr="0035387B">
        <w:t>Oprava přejezdů v úseku Skalice nad Svitavou - Březová nad Svitavou - přejezd P6810</w:t>
      </w:r>
      <w:r w:rsidRPr="00423E22">
        <w:t>“</w:t>
      </w:r>
      <w:r w:rsidR="00EC4FA5" w:rsidRPr="00423E22">
        <w:t>,</w:t>
      </w:r>
      <w:r w:rsidRPr="00423E22">
        <w:t xml:space="preserve"> jejímž cílem je </w:t>
      </w:r>
      <w:r w:rsidR="00423E22" w:rsidRPr="00423E22">
        <w:t>zajištění bezproblémové provozuschopnosti železniční dopravní cesty výměnou a údržbou poškozených součástí železničního svršku.</w:t>
      </w:r>
    </w:p>
    <w:p w14:paraId="79B5C973" w14:textId="0D2129E4" w:rsidR="00DF7BAA" w:rsidRDefault="00A16611" w:rsidP="00886237">
      <w:pPr>
        <w:pStyle w:val="Text2-1"/>
      </w:pPr>
      <w:r w:rsidRPr="00423E22">
        <w:t>Rozsah Díla „</w:t>
      </w:r>
      <w:r w:rsidR="0035387B" w:rsidRPr="0035387B">
        <w:t>Oprava přejezdů v úseku Skalice nad Svitavou - Březová nad Svitavou - přejezd P6810</w:t>
      </w:r>
      <w:r w:rsidRPr="00423E22">
        <w:t xml:space="preserve">“ </w:t>
      </w:r>
      <w:bookmarkStart w:id="12" w:name="_Toc6410431"/>
      <w:bookmarkStart w:id="13" w:name="_Toc128403506"/>
      <w:r w:rsidR="0035387B" w:rsidRPr="00DB4332">
        <w:t xml:space="preserve">je </w:t>
      </w:r>
      <w:r w:rsidR="0035387B">
        <w:t>výměna přejezdové konstrukce typu STRAIL za novou pryžovou konstrukci se závěrnými zídkami. V místě přejezdu dojde k výměně železničního svršku v každé koleji, včetně kolejového lože. Dojde k opravě GPK na přilehlém kolejovém zhlaví a 1. a 2. staniční koleji, včetně doplnění kolejového lože do předepsaného profilu. Součástí Díla je i demontáž a zpětná montáž překážek v koleji pro prováděné práce a úprava ukolejnění a kolejových obvodů na provizorní stavy.</w:t>
      </w:r>
      <w:bookmarkEnd w:id="12"/>
      <w:bookmarkEnd w:id="13"/>
    </w:p>
    <w:p w14:paraId="4DFE4759" w14:textId="07F5FE78" w:rsidR="006972D4" w:rsidRDefault="00DF7BAA" w:rsidP="005A6C0C">
      <w:pPr>
        <w:pStyle w:val="Text2-1"/>
      </w:pPr>
      <w:r>
        <w:t xml:space="preserve">Stavba bude probíhat na trati </w:t>
      </w:r>
      <w:r w:rsidR="00423E22">
        <w:t>Brno hl.n</w:t>
      </w:r>
      <w:r w:rsidR="0035387B">
        <w:t>. – Česká Třebová v TUDU 2002 G1</w:t>
      </w:r>
      <w:r w:rsidR="00AA12D0">
        <w:t xml:space="preserve"> </w:t>
      </w:r>
      <w:r w:rsidR="0035387B">
        <w:t>v ŽST Skalice nad Svitavou.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40350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8403508"/>
      <w:r>
        <w:t>Projektová dokumentace</w:t>
      </w:r>
      <w:bookmarkEnd w:id="16"/>
      <w:bookmarkEnd w:id="17"/>
    </w:p>
    <w:p w14:paraId="7153DAFA" w14:textId="17E1FF3D" w:rsidR="00615BEC" w:rsidRPr="00615BEC" w:rsidRDefault="00AA12D0" w:rsidP="00615BEC">
      <w:pPr>
        <w:pStyle w:val="Text2-1"/>
      </w:pPr>
      <w:r>
        <w:t>Projektová dokumentace není k této stavbě zpracována.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8403509"/>
      <w:r>
        <w:t>Související dokumentace</w:t>
      </w:r>
      <w:bookmarkEnd w:id="18"/>
      <w:bookmarkEnd w:id="19"/>
    </w:p>
    <w:p w14:paraId="48F2F814" w14:textId="77777777" w:rsidR="00B7178D" w:rsidRPr="00BC51B8" w:rsidRDefault="00B7178D" w:rsidP="00B7178D">
      <w:pPr>
        <w:pStyle w:val="Text2-1"/>
      </w:pPr>
      <w:r>
        <w:t>Jedná se o údržbové práce, které budou provedeny bez stavebního povolení.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8403510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904FAFD" w14:textId="77777777" w:rsidR="00B7178D" w:rsidRPr="00E77DD9" w:rsidRDefault="00B7178D" w:rsidP="00B7178D">
      <w:pPr>
        <w:pStyle w:val="Text2-1"/>
      </w:pPr>
      <w:r w:rsidRPr="00E77DD9">
        <w:t>Koordinace musí probíhat zejména s níže uvedenými investicemi a opravnými pracemi:</w:t>
      </w:r>
    </w:p>
    <w:p w14:paraId="4F1DB6A4" w14:textId="77777777" w:rsidR="00B7178D" w:rsidRDefault="00B7178D" w:rsidP="00B7178D">
      <w:pPr>
        <w:pStyle w:val="Odstavec1-1a"/>
        <w:numPr>
          <w:ilvl w:val="0"/>
          <w:numId w:val="5"/>
        </w:numPr>
        <w:spacing w:after="120"/>
      </w:pPr>
      <w:r>
        <w:t>Údržbové práce na železničním svršku, spodku a trakčním vedení, které budou provádět ST Brno a SEE Brno.</w:t>
      </w:r>
    </w:p>
    <w:p w14:paraId="60A3365D" w14:textId="557205B7" w:rsidR="00B7178D" w:rsidRPr="00E77DD9" w:rsidRDefault="0035387B" w:rsidP="00B7178D">
      <w:pPr>
        <w:pStyle w:val="Odstavec1-1a"/>
        <w:numPr>
          <w:ilvl w:val="0"/>
          <w:numId w:val="5"/>
        </w:numPr>
        <w:spacing w:after="120"/>
      </w:pPr>
      <w:r>
        <w:t>Výměna kolejnic v mezistaničním úseku Skalice nad Svitavou - Letovice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840351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8403512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lastRenderedPageBreak/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lastRenderedPageBreak/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B7178D" w:rsidRDefault="00DF7856" w:rsidP="00DF7856">
      <w:pPr>
        <w:pStyle w:val="Text2-2"/>
      </w:pPr>
      <w:r w:rsidRPr="00B7178D">
        <w:t>Čl. 1.11.5.1 TKP, odst. 3 se mění takto:</w:t>
      </w:r>
    </w:p>
    <w:p w14:paraId="75E57AD6" w14:textId="5018562E" w:rsidR="00DF7856" w:rsidRPr="00B7178D" w:rsidRDefault="00DF7856" w:rsidP="004C1240">
      <w:pPr>
        <w:pStyle w:val="Text2-2"/>
        <w:numPr>
          <w:ilvl w:val="0"/>
          <w:numId w:val="0"/>
        </w:numPr>
        <w:ind w:left="1701"/>
      </w:pPr>
      <w:r w:rsidRPr="00B7178D">
        <w:t xml:space="preserve">Předání Dokumentace skutečného provedení stavby </w:t>
      </w:r>
      <w:r w:rsidR="00B7178D" w:rsidRPr="00B7178D">
        <w:t>bude dodáno v termínech dle bodu 5.1.4 těchto ZTP.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B7178D" w:rsidRDefault="004C1240" w:rsidP="004C1240">
      <w:pPr>
        <w:pStyle w:val="Text2-2"/>
      </w:pPr>
      <w:r w:rsidRPr="00B7178D">
        <w:t>Čl. 1.11.5.1 TKP, odst. 5 se ruší.</w:t>
      </w:r>
    </w:p>
    <w:p w14:paraId="34C5FAAF" w14:textId="77777777" w:rsidR="004C1240" w:rsidRPr="00B7178D" w:rsidRDefault="004C1240" w:rsidP="004C1240">
      <w:pPr>
        <w:pStyle w:val="Text2-2"/>
      </w:pPr>
      <w:r w:rsidRPr="00B7178D">
        <w:t>ČL 1.11.5.1 TKP, odst. 6 se mění takto:</w:t>
      </w:r>
    </w:p>
    <w:p w14:paraId="2A2ECA97" w14:textId="77777777" w:rsidR="004C1240" w:rsidRPr="00B7178D" w:rsidRDefault="004C1240" w:rsidP="004C1240">
      <w:pPr>
        <w:pStyle w:val="Text2-2"/>
        <w:numPr>
          <w:ilvl w:val="0"/>
          <w:numId w:val="0"/>
        </w:numPr>
        <w:ind w:left="1701"/>
      </w:pPr>
      <w:r w:rsidRPr="00B7178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otevřené formě</w:t>
      </w:r>
    </w:p>
    <w:p w14:paraId="19A3DA3F" w14:textId="7E66C78D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</w:t>
      </w:r>
      <w:r w:rsidRPr="00B7178D">
        <w:t>užívání Staveniště, včetně železniční dopravní cesty, v době, kdy je toho třeba, a</w:t>
      </w:r>
      <w:r>
        <w:t>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7178D" w:rsidRDefault="00AD75BB" w:rsidP="005220AF">
      <w:pPr>
        <w:pStyle w:val="Text2-2"/>
      </w:pPr>
      <w:r w:rsidRPr="00B7178D">
        <w:rPr>
          <w:b/>
        </w:rPr>
        <w:lastRenderedPageBreak/>
        <w:t>K činnostem Zhotovitele v rámci plnění SOD</w:t>
      </w:r>
      <w:r w:rsidRPr="00B7178D">
        <w:t xml:space="preserve"> mimo jiné také patří:</w:t>
      </w:r>
    </w:p>
    <w:p w14:paraId="7B1350E1" w14:textId="77777777" w:rsidR="00796FF0" w:rsidRPr="00B7178D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t>zpracování koordinačních schémat ukolejnění a trakčních propojek (KSUaTP) pro jednotlivé stavební postupy,</w:t>
      </w:r>
    </w:p>
    <w:p w14:paraId="6E661C3A" w14:textId="77777777" w:rsidR="009358DC" w:rsidRPr="00B7178D" w:rsidRDefault="009358DC" w:rsidP="005220AF">
      <w:pPr>
        <w:pStyle w:val="Text2-2"/>
      </w:pPr>
      <w:r w:rsidRPr="00B7178D">
        <w:t>Zhotovitel je povinen zajistit veřejnoprávní projednání a vydání potřebných rozhodnutí, povolení, souhlasů a jiných opatření</w:t>
      </w:r>
      <w:r w:rsidR="00223CF2" w:rsidRPr="00B7178D">
        <w:t>, nad rámec rozhodnutí, povolení, souhlasů zajištěných Objednatelem.</w:t>
      </w:r>
      <w:r w:rsidRPr="00B7178D">
        <w:t xml:space="preserve"> Zejména se jedná o:</w:t>
      </w:r>
    </w:p>
    <w:p w14:paraId="1B0EA688" w14:textId="77777777" w:rsidR="009358DC" w:rsidRPr="00B7178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7178D">
        <w:rPr>
          <w:sz w:val="18"/>
          <w:szCs w:val="18"/>
        </w:rPr>
        <w:t> </w:t>
      </w:r>
      <w:r w:rsidRPr="00B7178D">
        <w:rPr>
          <w:sz w:val="18"/>
          <w:szCs w:val="18"/>
        </w:rPr>
        <w:t>13/1997 Sb.</w:t>
      </w:r>
      <w:r w:rsidR="00223CF2" w:rsidRPr="00B7178D">
        <w:rPr>
          <w:sz w:val="18"/>
          <w:szCs w:val="18"/>
        </w:rPr>
        <w:t xml:space="preserve"> (o pozemních komunikacích)</w:t>
      </w:r>
      <w:r w:rsidRPr="00B7178D">
        <w:rPr>
          <w:sz w:val="18"/>
          <w:szCs w:val="18"/>
        </w:rPr>
        <w:t>, jestliže se jejich potřeba objeví v souvislosti s realizací Díla,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</w:t>
      </w:r>
      <w:r w:rsidRPr="009F244D">
        <w:lastRenderedPageBreak/>
        <w:t>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28403513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75D6C142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204C38">
        <w:t>Ing. Pavel Bělehrad tel. 972 625 479,    e-mail: Belehrad@spravazeleznic.cz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204C38" w:rsidRDefault="00DC55C8" w:rsidP="00DC55C8">
      <w:pPr>
        <w:pStyle w:val="Text2-1"/>
      </w:pPr>
      <w:r w:rsidRPr="00204C3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204C38" w:rsidRDefault="00DC55C8" w:rsidP="00DC55C8">
      <w:pPr>
        <w:pStyle w:val="Text2-1"/>
      </w:pPr>
      <w:r w:rsidRPr="00204C38">
        <w:lastRenderedPageBreak/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204C38" w:rsidRDefault="00DC55C8" w:rsidP="00DC55C8">
      <w:pPr>
        <w:pStyle w:val="Text2-1"/>
      </w:pPr>
      <w:r w:rsidRPr="00204C3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04C38" w:rsidRDefault="00DC55C8" w:rsidP="00DC55C8">
      <w:pPr>
        <w:pStyle w:val="Text2-1"/>
      </w:pPr>
      <w:r w:rsidRPr="00204C38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204C38">
        <w:t> čl. 1.7.3 TKP ZEMĚMĚŘICKÁ ČINNOST ZAJIŠŤOVANÁ ZHOTOVITELEM</w:t>
      </w:r>
      <w:bookmarkEnd w:id="37"/>
      <w:r w:rsidRPr="00204C38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04C38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</w:t>
      </w:r>
      <w:r>
        <w:t xml:space="preserve">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E3B5150" w14:textId="77777777" w:rsidR="00DF7BAA" w:rsidRDefault="00DF7BAA" w:rsidP="00DF7BAA">
      <w:pPr>
        <w:pStyle w:val="Nadpis2-2"/>
      </w:pPr>
      <w:bookmarkStart w:id="38" w:name="_Toc6410439"/>
      <w:bookmarkStart w:id="39" w:name="_Toc128403514"/>
      <w:r>
        <w:t>Dokumentace zhotovitele pro stavbu</w:t>
      </w:r>
      <w:bookmarkEnd w:id="38"/>
      <w:bookmarkEnd w:id="39"/>
    </w:p>
    <w:p w14:paraId="3224C863" w14:textId="77777777" w:rsidR="009B11EA" w:rsidRDefault="009B11EA" w:rsidP="009B11EA">
      <w:pPr>
        <w:pStyle w:val="Text2-1"/>
      </w:pPr>
      <w:bookmarkStart w:id="40" w:name="_Toc6410440"/>
      <w:r>
        <w:t>Zhotovitel minimálně 14 dnů před zahájením prací předloží Objednateli vypracovanou projektovou dokumentaci náhradního ukolejnění a kolejových obvodů.</w:t>
      </w:r>
    </w:p>
    <w:p w14:paraId="48285C13" w14:textId="77777777" w:rsidR="009B11EA" w:rsidRPr="0004537E" w:rsidRDefault="009B11EA" w:rsidP="009B11EA">
      <w:pPr>
        <w:pStyle w:val="Text2-1"/>
      </w:pPr>
      <w:r w:rsidRPr="006B1B8E">
        <w:lastRenderedPageBreak/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4F612423" w14:textId="77777777" w:rsidR="009B11EA" w:rsidRDefault="009B11EA" w:rsidP="009B11E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CB42762" w14:textId="1E180860" w:rsidR="009B11EA" w:rsidRDefault="009B11EA" w:rsidP="009B11E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35387B">
        <w:t>.</w:t>
      </w:r>
    </w:p>
    <w:p w14:paraId="3CF0FDC7" w14:textId="6BD40E5D" w:rsidR="00204C38" w:rsidRDefault="00204C38" w:rsidP="00204C38">
      <w:pPr>
        <w:pStyle w:val="Nadpis2-2"/>
      </w:pPr>
      <w:bookmarkStart w:id="41" w:name="_Toc128403515"/>
      <w:r>
        <w:t>Doklady předkládané zhotovitelem</w:t>
      </w:r>
      <w:bookmarkEnd w:id="41"/>
    </w:p>
    <w:p w14:paraId="332073C2" w14:textId="708E341F" w:rsidR="00204C38" w:rsidRDefault="00204C38" w:rsidP="00204C38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32FA1813" w14:textId="77777777" w:rsidR="00204C38" w:rsidRPr="007E6A00" w:rsidRDefault="00204C38" w:rsidP="00204C38">
      <w:pPr>
        <w:pStyle w:val="Text2-1"/>
        <w:numPr>
          <w:ilvl w:val="2"/>
          <w:numId w:val="23"/>
        </w:numPr>
        <w:tabs>
          <w:tab w:val="clear" w:pos="737"/>
        </w:tabs>
      </w:pPr>
      <w:r w:rsidRPr="007E6A00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4384A5C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K-05/2 - Vedoucí prací pro práce na železničním svršku a spodku;</w:t>
      </w:r>
    </w:p>
    <w:p w14:paraId="3E899273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K-06 - Vedoucí prací pro řízení stavby;</w:t>
      </w:r>
    </w:p>
    <w:p w14:paraId="0396723D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D-04 – Vedoucí posunu, pracovník pro řízení sledu.</w:t>
      </w:r>
    </w:p>
    <w:p w14:paraId="23AC2058" w14:textId="77777777" w:rsidR="00204C38" w:rsidRDefault="00204C38" w:rsidP="00204C38">
      <w:pPr>
        <w:pStyle w:val="Odrka1-2-"/>
        <w:numPr>
          <w:ilvl w:val="1"/>
          <w:numId w:val="4"/>
        </w:numPr>
      </w:pPr>
      <w:r>
        <w:t>Osvědčení o způsobilosti ke svařování v souladu s předpisem SŽ S3/5 v platném znění:</w:t>
      </w:r>
    </w:p>
    <w:p w14:paraId="1D618791" w14:textId="7807A9E3" w:rsidR="00204C38" w:rsidRDefault="00204C38" w:rsidP="00204C38">
      <w:pPr>
        <w:pStyle w:val="Odrka1-2-"/>
        <w:numPr>
          <w:ilvl w:val="1"/>
          <w:numId w:val="24"/>
        </w:numPr>
        <w:tabs>
          <w:tab w:val="clear" w:pos="1531"/>
          <w:tab w:val="num" w:pos="1843"/>
        </w:tabs>
        <w:ind w:left="1843"/>
      </w:pPr>
      <w:r>
        <w:t>Aluminotermické svařování kolejnic stejného tvaru technologií dle Přílohy C předpisu SŽ S3/5 a to z materiálu kolejnic R350HT.</w:t>
      </w:r>
    </w:p>
    <w:p w14:paraId="19F38ADB" w14:textId="77777777" w:rsidR="00B53E41" w:rsidRDefault="00DF7BAA" w:rsidP="0060019A">
      <w:pPr>
        <w:pStyle w:val="Nadpis2-2"/>
      </w:pPr>
      <w:bookmarkStart w:id="42" w:name="_Toc128403516"/>
      <w:r>
        <w:t>Dokumentace skutečného provedení stavby</w:t>
      </w:r>
      <w:bookmarkEnd w:id="40"/>
      <w:bookmarkEnd w:id="42"/>
    </w:p>
    <w:p w14:paraId="71B3DEFD" w14:textId="77777777" w:rsidR="00910830" w:rsidRPr="006C1206" w:rsidRDefault="00910830" w:rsidP="00910830">
      <w:pPr>
        <w:pStyle w:val="Text2-1"/>
      </w:pPr>
      <w:bookmarkStart w:id="43" w:name="_Ref62136016"/>
      <w:r w:rsidRPr="006C1206">
        <w:t>Dokumentace skutečného provedení se nevyhotovuje. Před zahájením provozu se odevzdávají Objednateli dokumentace dle bodu 4.3.2 těchto ZTP.</w:t>
      </w:r>
    </w:p>
    <w:p w14:paraId="30ED94AF" w14:textId="77777777" w:rsidR="00DF7BAA" w:rsidRPr="00E77C22" w:rsidRDefault="00DF7BAA" w:rsidP="00DF7BAA">
      <w:pPr>
        <w:pStyle w:val="Nadpis2-2"/>
      </w:pPr>
      <w:bookmarkStart w:id="44" w:name="_Toc6410441"/>
      <w:bookmarkStart w:id="45" w:name="_Toc128403517"/>
      <w:bookmarkEnd w:id="43"/>
      <w:r w:rsidRPr="00E77C22">
        <w:t>Zabezpečovací zařízení</w:t>
      </w:r>
      <w:bookmarkEnd w:id="44"/>
      <w:bookmarkEnd w:id="45"/>
    </w:p>
    <w:p w14:paraId="256DC0C9" w14:textId="0EEE0B39" w:rsidR="00DF7BAA" w:rsidRPr="00E77C22" w:rsidRDefault="00A16AC7" w:rsidP="00A16AC7">
      <w:pPr>
        <w:pStyle w:val="Text2-1"/>
      </w:pPr>
      <w:r>
        <w:t>Trať je vybavena kolejovými obvody, zabezpečovacím systémem ETCS a systémem automatického vedení vlaku. Zhotovitel provede odbornou demontáž a zpětnou montáž prvků těchto systémů, které tvoří překážku v práci.</w:t>
      </w:r>
    </w:p>
    <w:p w14:paraId="01F4A384" w14:textId="77777777" w:rsidR="00DF7BAA" w:rsidRPr="00E77C22" w:rsidRDefault="00DF7BAA" w:rsidP="00DF7BAA">
      <w:pPr>
        <w:pStyle w:val="Nadpis2-2"/>
      </w:pPr>
      <w:bookmarkStart w:id="46" w:name="_Toc6410443"/>
      <w:bookmarkStart w:id="47" w:name="_Toc128403518"/>
      <w:r w:rsidRPr="00E77C22">
        <w:t>Silnoproudá technologie včetně DŘT, trakční a energetická zařízení</w:t>
      </w:r>
      <w:bookmarkEnd w:id="46"/>
      <w:bookmarkEnd w:id="47"/>
    </w:p>
    <w:p w14:paraId="43E6B207" w14:textId="77777777" w:rsidR="00A16AC7" w:rsidRDefault="00A16AC7" w:rsidP="00A16AC7">
      <w:pPr>
        <w:pStyle w:val="Text2-1"/>
      </w:pPr>
      <w:bookmarkStart w:id="48" w:name="_Toc6410444"/>
      <w:r>
        <w:t xml:space="preserve">Pro jednotlivé etapy bude provedeno náhradní ukolejnění odpojených prvků dle schématu KSU a TP. </w:t>
      </w:r>
    </w:p>
    <w:p w14:paraId="07EDB64A" w14:textId="77777777" w:rsidR="00DF7BAA" w:rsidRPr="00E77C22" w:rsidRDefault="00DF7BAA" w:rsidP="00DF7BAA">
      <w:pPr>
        <w:pStyle w:val="Nadpis2-2"/>
      </w:pPr>
      <w:bookmarkStart w:id="49" w:name="_Toc128403519"/>
      <w:r w:rsidRPr="00E77C22">
        <w:t>Ostatní technologická zařízení</w:t>
      </w:r>
      <w:bookmarkEnd w:id="48"/>
      <w:bookmarkEnd w:id="49"/>
    </w:p>
    <w:p w14:paraId="7E01DFFD" w14:textId="77777777" w:rsidR="00DF7BAA" w:rsidRDefault="00DF7BAA" w:rsidP="00DF7BAA">
      <w:pPr>
        <w:pStyle w:val="Nadpis2-2"/>
      </w:pPr>
      <w:bookmarkStart w:id="50" w:name="_Toc6410445"/>
      <w:bookmarkStart w:id="51" w:name="_Toc128403520"/>
      <w:r>
        <w:t>Železniční svršek</w:t>
      </w:r>
      <w:bookmarkEnd w:id="50"/>
      <w:bookmarkEnd w:id="51"/>
      <w:r>
        <w:t xml:space="preserve"> </w:t>
      </w:r>
    </w:p>
    <w:p w14:paraId="11E32EF1" w14:textId="42D9196B" w:rsidR="00DF7BAA" w:rsidRDefault="0035387B" w:rsidP="00503FE9">
      <w:pPr>
        <w:pStyle w:val="Text2-1"/>
      </w:pPr>
      <w:bookmarkStart w:id="52" w:name="_Toc6410448"/>
      <w:bookmarkStart w:id="53" w:name="_Toc128403521"/>
      <w:r>
        <w:t>V rámci opravy dojde k výměně kolejového roštu v prostoru železničního přejezdu v km 194,412. Dále dojde ke směrové a výškové úpravě kolejí dle uvedeného rozsahu v popisu prací.</w:t>
      </w:r>
      <w:bookmarkEnd w:id="52"/>
      <w:bookmarkEnd w:id="53"/>
    </w:p>
    <w:p w14:paraId="0F212FB8" w14:textId="77777777" w:rsidR="0035387B" w:rsidRDefault="0035387B" w:rsidP="0035387B">
      <w:pPr>
        <w:pStyle w:val="Nadpis2-2"/>
      </w:pPr>
      <w:bookmarkStart w:id="54" w:name="_Toc60140210"/>
      <w:r>
        <w:lastRenderedPageBreak/>
        <w:t>Železniční přejezdy</w:t>
      </w:r>
      <w:bookmarkEnd w:id="54"/>
    </w:p>
    <w:p w14:paraId="07305A86" w14:textId="0B3447EE" w:rsidR="0035387B" w:rsidRDefault="0035387B" w:rsidP="0035387B">
      <w:pPr>
        <w:pStyle w:val="Text2-1"/>
      </w:pPr>
      <w:r>
        <w:t>Na železničním přejezdu v km 194,412 budou vloženy nové pryžové přejezdové konstrukce včetně závěrných zídek. Bude provedeno napojení asfaltových vrstev od stávající kom</w:t>
      </w:r>
      <w:r w:rsidR="00BB2D0F">
        <w:t>unikace na konstrukci přejezdu.</w:t>
      </w:r>
    </w:p>
    <w:p w14:paraId="650D6E64" w14:textId="77777777" w:rsidR="0035387B" w:rsidRDefault="0035387B" w:rsidP="0035387B">
      <w:pPr>
        <w:pStyle w:val="Nadpis2-2"/>
      </w:pPr>
      <w:bookmarkStart w:id="55" w:name="_Toc6410457"/>
      <w:bookmarkStart w:id="56" w:name="_Toc60140211"/>
      <w:r>
        <w:t>Vyzískaný materiál</w:t>
      </w:r>
      <w:bookmarkEnd w:id="55"/>
      <w:bookmarkEnd w:id="56"/>
    </w:p>
    <w:p w14:paraId="4F50D682" w14:textId="5EC73F06" w:rsidR="0035387B" w:rsidRDefault="0035387B" w:rsidP="0035387B">
      <w:pPr>
        <w:pStyle w:val="Text2-1"/>
      </w:pPr>
      <w:r>
        <w:t>Výzisk ocelového materiálu železničního svršku bude zhotovitelem předán Objedna</w:t>
      </w:r>
      <w:r w:rsidR="00BB2D0F">
        <w:t>teli v ŽST Skalice nad Svitavou.</w:t>
      </w:r>
    </w:p>
    <w:p w14:paraId="1DB10773" w14:textId="0C22A750" w:rsidR="0035387B" w:rsidRPr="000124A1" w:rsidRDefault="0035387B" w:rsidP="0035387B">
      <w:pPr>
        <w:pStyle w:val="Text2-1"/>
      </w:pPr>
      <w:r>
        <w:t xml:space="preserve">Ostatní materiál (pryžové součásti a vytěžený štěrk, suť, betonové pražce) </w:t>
      </w:r>
      <w:bookmarkStart w:id="57" w:name="_GoBack"/>
      <w:bookmarkEnd w:id="57"/>
      <w:r>
        <w:t>bude zhotovitelem přepraven k uložení a likvidaci.</w:t>
      </w:r>
    </w:p>
    <w:p w14:paraId="188B588A" w14:textId="77777777" w:rsidR="00DF7BAA" w:rsidRDefault="00DF7BAA" w:rsidP="00DF7BAA">
      <w:pPr>
        <w:pStyle w:val="Nadpis2-1"/>
      </w:pPr>
      <w:bookmarkStart w:id="58" w:name="_Toc6410460"/>
      <w:bookmarkStart w:id="59" w:name="_Toc128403522"/>
      <w:r w:rsidRPr="00EC2E51">
        <w:t>ORGANIZACE</w:t>
      </w:r>
      <w:r>
        <w:t xml:space="preserve"> VÝSTAVBY, VÝLUKY</w:t>
      </w:r>
      <w:bookmarkEnd w:id="58"/>
      <w:bookmarkEnd w:id="59"/>
    </w:p>
    <w:p w14:paraId="10DACBE2" w14:textId="5F122B5F" w:rsidR="00B60031" w:rsidRPr="00526DBB" w:rsidRDefault="001A4CA5" w:rsidP="001A4CA5">
      <w:pPr>
        <w:pStyle w:val="Text2-1"/>
      </w:pPr>
      <w:r w:rsidRPr="00526DBB">
        <w:t xml:space="preserve">Při zpracování harmonogramu je nutné vycházet </w:t>
      </w:r>
      <w:r w:rsidR="00526DBB">
        <w:t>a</w:t>
      </w:r>
      <w:r w:rsidRPr="00526DBB">
        <w:t xml:space="preserve"> dodržet množs</w:t>
      </w:r>
      <w:r w:rsidR="00526DBB" w:rsidRPr="00526DBB">
        <w:t>tví a délku předjednaných výluk.</w:t>
      </w:r>
    </w:p>
    <w:p w14:paraId="0587D65B" w14:textId="77777777" w:rsidR="00DF7BAA" w:rsidRPr="00526DBB" w:rsidRDefault="00DF7BAA" w:rsidP="00DF7BAA">
      <w:pPr>
        <w:pStyle w:val="Text2-1"/>
      </w:pPr>
      <w:r w:rsidRPr="00526DBB">
        <w:t xml:space="preserve">Závazným pro </w:t>
      </w:r>
      <w:r w:rsidR="00DB58AA" w:rsidRPr="00526DBB">
        <w:t>Z</w:t>
      </w:r>
      <w:r w:rsidRPr="00526DBB">
        <w:t>hotovitele jsou termíny a rozsah výluk, které jsou uvedeny v následující tabulce:</w:t>
      </w:r>
    </w:p>
    <w:p w14:paraId="47372265" w14:textId="77777777" w:rsidR="00BC5413" w:rsidRPr="00526DBB" w:rsidRDefault="00756A89" w:rsidP="005D2C6C">
      <w:pPr>
        <w:pStyle w:val="TabulkaNadpis"/>
      </w:pPr>
      <w:r w:rsidRPr="00526DBB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815"/>
        <w:gridCol w:w="2578"/>
        <w:gridCol w:w="1694"/>
        <w:gridCol w:w="1964"/>
      </w:tblGrid>
      <w:tr w:rsidR="009D623F" w:rsidRPr="00526DBB" w14:paraId="4E72ED87" w14:textId="77777777" w:rsidTr="00526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92F6585" w14:textId="77777777" w:rsidR="009D623F" w:rsidRPr="00526DBB" w:rsidRDefault="009D623F" w:rsidP="0002279D">
            <w:pPr>
              <w:pStyle w:val="Tabulka-7"/>
              <w:rPr>
                <w:b/>
              </w:rPr>
            </w:pPr>
            <w:r w:rsidRPr="00526DBB">
              <w:rPr>
                <w:b/>
              </w:rPr>
              <w:t>Postup</w:t>
            </w:r>
          </w:p>
        </w:tc>
        <w:tc>
          <w:tcPr>
            <w:tcW w:w="2578" w:type="dxa"/>
          </w:tcPr>
          <w:p w14:paraId="1A565737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526DBB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Doba</w:t>
            </w:r>
            <w:r w:rsidR="00756A89" w:rsidRPr="00526DBB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A0F3633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249F1A6C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31B8EB1A" w:rsidR="00580BF5" w:rsidRPr="00526DBB" w:rsidRDefault="00BB2D0F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červen</w:t>
            </w:r>
            <w:r w:rsidR="00526DBB" w:rsidRPr="00526DBB">
              <w:rPr>
                <w:sz w:val="14"/>
              </w:rPr>
              <w:t xml:space="preserve"> 2023</w:t>
            </w:r>
          </w:p>
        </w:tc>
      </w:tr>
      <w:tr w:rsidR="00526DBB" w:rsidRPr="00404F88" w14:paraId="5E8EF3C4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4BB56EEF" w14:textId="39076C98" w:rsidR="00526DBB" w:rsidRPr="007E040C" w:rsidRDefault="00526DBB" w:rsidP="00526DBB">
            <w:pPr>
              <w:pStyle w:val="Tabulka-7"/>
              <w:rPr>
                <w:highlight w:val="green"/>
              </w:rPr>
            </w:pPr>
            <w:r>
              <w:t>1</w:t>
            </w:r>
            <w:r w:rsidRPr="00526DBB">
              <w:t xml:space="preserve">. TK </w:t>
            </w:r>
            <w:r>
              <w:t>Letovice</w:t>
            </w:r>
            <w:r w:rsidRPr="00526DBB">
              <w:t xml:space="preserve"> – Skalice nad Svitavou</w:t>
            </w:r>
          </w:p>
        </w:tc>
        <w:tc>
          <w:tcPr>
            <w:tcW w:w="2578" w:type="dxa"/>
          </w:tcPr>
          <w:p w14:paraId="0A6D9C8C" w14:textId="3CE1D2E8" w:rsidR="00526DBB" w:rsidRPr="007E040C" w:rsidRDefault="00BB2D0F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Oprava přejezdové konstrukce přejezdu v km 194,412, oprava GPK, asfaltování</w:t>
            </w:r>
          </w:p>
        </w:tc>
        <w:tc>
          <w:tcPr>
            <w:tcW w:w="1694" w:type="dxa"/>
          </w:tcPr>
          <w:p w14:paraId="2A1B528B" w14:textId="07498849" w:rsidR="00526DBB" w:rsidRPr="007E040C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7N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400CEC6" w:rsidR="00526DBB" w:rsidRPr="00BC51B8" w:rsidRDefault="004E0CF4" w:rsidP="00526DB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8</w:t>
            </w:r>
            <w:r w:rsidR="00526DBB" w:rsidRPr="00526DBB">
              <w:rPr>
                <w:sz w:val="14"/>
              </w:rPr>
              <w:t>. –</w:t>
            </w:r>
            <w:r>
              <w:rPr>
                <w:sz w:val="14"/>
              </w:rPr>
              <w:t xml:space="preserve"> 14</w:t>
            </w:r>
            <w:r w:rsidR="00526DBB" w:rsidRPr="00526DBB">
              <w:rPr>
                <w:sz w:val="14"/>
              </w:rPr>
              <w:t>.</w:t>
            </w:r>
            <w:r>
              <w:rPr>
                <w:sz w:val="14"/>
              </w:rPr>
              <w:t>6</w:t>
            </w:r>
            <w:r w:rsidR="00526DBB" w:rsidRPr="00526DBB">
              <w:rPr>
                <w:sz w:val="14"/>
              </w:rPr>
              <w:t>.2023</w:t>
            </w:r>
          </w:p>
        </w:tc>
      </w:tr>
      <w:tr w:rsidR="00526DBB" w:rsidRPr="00404F88" w14:paraId="3851B7D4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D2A9A45" w14:textId="301DDEB8" w:rsidR="00526DBB" w:rsidRDefault="00526DBB" w:rsidP="00526DBB">
            <w:pPr>
              <w:pStyle w:val="Tabulka-7"/>
              <w:rPr>
                <w:highlight w:val="green"/>
              </w:rPr>
            </w:pPr>
            <w:r>
              <w:t>2</w:t>
            </w:r>
            <w:r w:rsidRPr="00526DBB">
              <w:t xml:space="preserve">. TK Skalice nad Svitavou – </w:t>
            </w:r>
            <w:r>
              <w:t>Letovice</w:t>
            </w:r>
          </w:p>
        </w:tc>
        <w:tc>
          <w:tcPr>
            <w:tcW w:w="2578" w:type="dxa"/>
          </w:tcPr>
          <w:p w14:paraId="566D0A67" w14:textId="4FC3B1D6" w:rsidR="00526DBB" w:rsidRPr="007E040C" w:rsidDel="00055752" w:rsidRDefault="00BB2D0F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Oprava přejezdové konstrukce přejezdu v km 194,412, oprava GPK</w:t>
            </w:r>
            <w:r>
              <w:t>, asfaltování</w:t>
            </w:r>
          </w:p>
        </w:tc>
        <w:tc>
          <w:tcPr>
            <w:tcW w:w="1694" w:type="dxa"/>
          </w:tcPr>
          <w:p w14:paraId="3034FA3E" w14:textId="7F459613" w:rsidR="00526DBB" w:rsidRPr="007E040C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6N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3267F6E" w:rsidR="00526DBB" w:rsidRPr="00BC51B8" w:rsidRDefault="004E0CF4" w:rsidP="00526DB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14</w:t>
            </w:r>
            <w:r w:rsidR="00526DBB" w:rsidRPr="00526DBB">
              <w:rPr>
                <w:sz w:val="14"/>
              </w:rPr>
              <w:t>. –</w:t>
            </w:r>
            <w:r>
              <w:rPr>
                <w:sz w:val="14"/>
              </w:rPr>
              <w:t xml:space="preserve"> 19</w:t>
            </w:r>
            <w:r w:rsidR="00526DBB" w:rsidRPr="00526DBB">
              <w:rPr>
                <w:sz w:val="14"/>
              </w:rPr>
              <w:t>.</w:t>
            </w:r>
            <w:r>
              <w:rPr>
                <w:sz w:val="14"/>
              </w:rPr>
              <w:t>6</w:t>
            </w:r>
            <w:r w:rsidR="00526DBB" w:rsidRPr="00526DBB">
              <w:rPr>
                <w:sz w:val="14"/>
              </w:rPr>
              <w:t>.2023</w:t>
            </w:r>
          </w:p>
        </w:tc>
      </w:tr>
      <w:tr w:rsidR="00580BF5" w:rsidRPr="00404F88" w14:paraId="5885C96E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7EBE4A67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65395B6F" w14:textId="09864C85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Předání dokumentace a d</w:t>
            </w:r>
            <w:r w:rsidR="00580BF5" w:rsidRPr="00526DBB">
              <w:t>okončení Díla</w:t>
            </w:r>
          </w:p>
        </w:tc>
        <w:tc>
          <w:tcPr>
            <w:tcW w:w="1694" w:type="dxa"/>
          </w:tcPr>
          <w:p w14:paraId="6475AD07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72E6467" w:rsidR="00580BF5" w:rsidRPr="00526DBB" w:rsidRDefault="00526DB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26DBB">
              <w:rPr>
                <w:sz w:val="14"/>
              </w:rPr>
              <w:t>červenec 2023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3433DF18" w14:textId="77777777" w:rsidR="00DF7BAA" w:rsidRDefault="00DF7BAA" w:rsidP="00DF7BAA">
      <w:pPr>
        <w:pStyle w:val="Nadpis2-1"/>
      </w:pPr>
      <w:bookmarkStart w:id="60" w:name="_Toc6410461"/>
      <w:bookmarkStart w:id="61" w:name="_Toc128403523"/>
      <w:r w:rsidRPr="00EC2E51">
        <w:t>SOUVISEJÍCÍ</w:t>
      </w:r>
      <w:r>
        <w:t xml:space="preserve"> DOKUMENTY A PŘEDPISY</w:t>
      </w:r>
      <w:bookmarkEnd w:id="60"/>
      <w:bookmarkEnd w:id="6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3AFA307" w14:textId="23986C7D" w:rsidR="00F01B21" w:rsidRPr="00F01B21" w:rsidRDefault="009C4EEA" w:rsidP="00526DBB">
      <w:pPr>
        <w:pStyle w:val="Textbezslovn"/>
      </w:pPr>
      <w:r>
        <w:t xml:space="preserve">Ceníky: </w:t>
      </w:r>
      <w:r w:rsidRPr="00E64846">
        <w:t>https://typdok.tudc.cz/</w:t>
      </w:r>
    </w:p>
    <w:bookmarkEnd w:id="5"/>
    <w:bookmarkEnd w:id="6"/>
    <w:bookmarkEnd w:id="7"/>
    <w:bookmarkEnd w:id="8"/>
    <w:bookmarkEnd w:id="9"/>
    <w:p w14:paraId="6B2472A9" w14:textId="078B8C4F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3258" w14:textId="77777777" w:rsidR="00423E22" w:rsidRDefault="00423E22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423E22" w:rsidRDefault="00423E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23E2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6E88830" w:rsidR="00423E22" w:rsidRPr="00B8518B" w:rsidRDefault="00423E2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2D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2D0F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59E65CC" w:rsidR="00423E22" w:rsidRDefault="00BB2D0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přejezdů v úseku Skalice nad Svitavou - Březová nad Svitavou - přejezd P6810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3E22">
            <w:t>Příloha č. 2 c)</w:t>
          </w:r>
          <w:r w:rsidR="00423E22" w:rsidRPr="003462EB">
            <w:t xml:space="preserve"> </w:t>
          </w:r>
        </w:p>
        <w:p w14:paraId="178E0553" w14:textId="77777777" w:rsidR="00423E22" w:rsidRPr="003462EB" w:rsidRDefault="00423E2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423E22" w:rsidRPr="00614E71" w:rsidRDefault="00423E2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23E2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96FAC0C" w:rsidR="00423E22" w:rsidRDefault="00BB2D0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přejezdů v úseku Skalice nad Svitavou - Březová nad Svitavou - přejezd P6810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3E22">
            <w:t>Příloha č. 2 c)</w:t>
          </w:r>
        </w:p>
        <w:p w14:paraId="5D9BD160" w14:textId="77777777" w:rsidR="00423E22" w:rsidRPr="003462EB" w:rsidRDefault="00423E2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B1113A1" w:rsidR="00423E22" w:rsidRPr="009E09BE" w:rsidRDefault="00423E2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2D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2D0F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23E22" w:rsidRPr="00B8518B" w:rsidRDefault="00423E2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423E22" w:rsidRPr="00B8518B" w:rsidRDefault="00423E22" w:rsidP="00460660">
    <w:pPr>
      <w:pStyle w:val="Zpat"/>
      <w:rPr>
        <w:sz w:val="2"/>
        <w:szCs w:val="2"/>
      </w:rPr>
    </w:pPr>
  </w:p>
  <w:p w14:paraId="53F277EE" w14:textId="77777777" w:rsidR="00423E22" w:rsidRDefault="00423E22" w:rsidP="00757290">
    <w:pPr>
      <w:pStyle w:val="Zpatvlevo"/>
      <w:rPr>
        <w:rFonts w:cs="Calibri"/>
        <w:szCs w:val="12"/>
      </w:rPr>
    </w:pPr>
  </w:p>
  <w:p w14:paraId="17EFC080" w14:textId="77777777" w:rsidR="00423E22" w:rsidRPr="00460660" w:rsidRDefault="00423E2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194B" w14:textId="77777777" w:rsidR="00423E22" w:rsidRDefault="00423E22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423E22" w:rsidRDefault="00423E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23E2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23E22" w:rsidRDefault="00423E2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23E22" w:rsidRPr="00D6163D" w:rsidRDefault="00423E22" w:rsidP="00FC6389">
          <w:pPr>
            <w:pStyle w:val="Druhdokumentu"/>
          </w:pPr>
        </w:p>
      </w:tc>
    </w:tr>
    <w:tr w:rsidR="00423E2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23E22" w:rsidRDefault="00423E2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23E22" w:rsidRPr="00D6163D" w:rsidRDefault="00423E22" w:rsidP="00FC6389">
          <w:pPr>
            <w:pStyle w:val="Druhdokumentu"/>
          </w:pPr>
        </w:p>
      </w:tc>
    </w:tr>
  </w:tbl>
  <w:p w14:paraId="53E85CAA" w14:textId="77777777" w:rsidR="00423E22" w:rsidRPr="00D6163D" w:rsidRDefault="00423E22" w:rsidP="00FC6389">
    <w:pPr>
      <w:pStyle w:val="Zhlav"/>
      <w:rPr>
        <w:sz w:val="8"/>
        <w:szCs w:val="8"/>
      </w:rPr>
    </w:pPr>
  </w:p>
  <w:p w14:paraId="1437D3AE" w14:textId="77777777" w:rsidR="00423E22" w:rsidRPr="00460660" w:rsidRDefault="00423E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34D7F"/>
    <w:multiLevelType w:val="multilevel"/>
    <w:tmpl w:val="7BFA9328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C38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387B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3E22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0CF4"/>
    <w:rsid w:val="004E33B6"/>
    <w:rsid w:val="004E7A1F"/>
    <w:rsid w:val="004F4B9B"/>
    <w:rsid w:val="004F70CD"/>
    <w:rsid w:val="00500C8E"/>
    <w:rsid w:val="0050221A"/>
    <w:rsid w:val="00502B16"/>
    <w:rsid w:val="005030A2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6DBB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0830"/>
    <w:rsid w:val="009135D1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11EA"/>
    <w:rsid w:val="009B2E97"/>
    <w:rsid w:val="009B303C"/>
    <w:rsid w:val="009B50C1"/>
    <w:rsid w:val="009B5146"/>
    <w:rsid w:val="009B5181"/>
    <w:rsid w:val="009C016F"/>
    <w:rsid w:val="009C1D92"/>
    <w:rsid w:val="009C2836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AC7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12D0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178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2D0F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44604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71BB0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1BB0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E2C3D1E99E19450ABE6C71F5409FE72E">
    <w:name w:val="E2C3D1E99E19450ABE6C71F5409FE72E"/>
    <w:rsid w:val="00B71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C6200-CAFF-49CE-A5D3-E23F7FB3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0</TotalTime>
  <Pages>11</Pages>
  <Words>4430</Words>
  <Characters>26137</Characters>
  <Application>Microsoft Office Word</Application>
  <DocSecurity>0</DocSecurity>
  <Lines>217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Šiške Vladimír, Ing.</cp:lastModifiedBy>
  <cp:revision>2</cp:revision>
  <cp:lastPrinted>2022-12-07T13:03:00Z</cp:lastPrinted>
  <dcterms:created xsi:type="dcterms:W3CDTF">2023-03-27T14:45:00Z</dcterms:created>
  <dcterms:modified xsi:type="dcterms:W3CDTF">2023-03-27T14:45:00Z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